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AD2F94" w:rsidP="00356D52">
      <w:pPr>
        <w:tabs>
          <w:tab w:val="left" w:pos="-567"/>
          <w:tab w:val="left" w:pos="5954"/>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001B6065">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A672F7"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2F2D37" w:rsidRPr="003A048B">
        <w:rPr>
          <w:rFonts w:ascii="Times New Roman" w:hAnsi="Times New Roman" w:cs="Times New Roman"/>
          <w:b w:val="0"/>
          <w:sz w:val="22"/>
          <w:szCs w:val="22"/>
        </w:rPr>
        <w:t>одпрограммы «Охрана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p>
    <w:tbl>
      <w:tblPr>
        <w:tblW w:w="0" w:type="auto"/>
        <w:tblInd w:w="70" w:type="dxa"/>
        <w:tblLayout w:type="fixed"/>
        <w:tblCellMar>
          <w:left w:w="70" w:type="dxa"/>
          <w:right w:w="70" w:type="dxa"/>
        </w:tblCellMar>
        <w:tblLook w:val="000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26409F"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6409F"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88257A">
            <w:pPr>
              <w:pStyle w:val="ConsPlusNormal"/>
              <w:ind w:firstLine="0"/>
              <w:rPr>
                <w:rFonts w:ascii="Times New Roman" w:hAnsi="Times New Roman" w:cs="Times New Roman"/>
                <w:sz w:val="22"/>
                <w:szCs w:val="22"/>
              </w:rPr>
            </w:pPr>
            <w:r>
              <w:rPr>
                <w:rFonts w:ascii="Times New Roman" w:hAnsi="Times New Roman" w:cs="Times New Roman"/>
                <w:sz w:val="22"/>
                <w:szCs w:val="22"/>
              </w:rPr>
              <w:t>2020 – 2026</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Fonts w:ascii="Times New Roman" w:hAnsi="Times New Roman" w:cs="Times New Roman"/>
                <w:sz w:val="22"/>
                <w:szCs w:val="22"/>
              </w:rPr>
              <w:t>Количество</w:t>
            </w:r>
            <w:r w:rsidRPr="0058747C">
              <w:rPr>
                <w:rStyle w:val="FontStyle102"/>
                <w:rFonts w:ascii="Times New Roman" w:hAnsi="Times New Roman" w:cs="Times New Roman"/>
                <w:sz w:val="22"/>
                <w:szCs w:val="22"/>
              </w:rPr>
              <w:t>созданных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w:t>
            </w:r>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w:t>
            </w:r>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086C40" w:rsidRDefault="00086C40"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Количество заключенных договоров</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О</w:t>
            </w:r>
            <w:r w:rsidR="006C5A85" w:rsidRPr="008C747E">
              <w:rPr>
                <w:rFonts w:ascii="Times New Roman" w:hAnsi="Times New Roman" w:cs="Times New Roman"/>
                <w:sz w:val="22"/>
                <w:szCs w:val="22"/>
              </w:rPr>
              <w:t>бщи</w:t>
            </w:r>
            <w:r w:rsidR="00834C97" w:rsidRPr="008C747E">
              <w:rPr>
                <w:rFonts w:ascii="Times New Roman" w:hAnsi="Times New Roman" w:cs="Times New Roman"/>
                <w:sz w:val="22"/>
                <w:szCs w:val="22"/>
              </w:rPr>
              <w:t xml:space="preserve">е расходы </w:t>
            </w:r>
            <w:r w:rsidR="00EB1326" w:rsidRPr="00481FDF">
              <w:rPr>
                <w:rFonts w:ascii="Times New Roman" w:hAnsi="Times New Roman" w:cs="Times New Roman"/>
                <w:sz w:val="22"/>
                <w:szCs w:val="22"/>
              </w:rPr>
              <w:t>подпрограммы</w:t>
            </w:r>
            <w:r w:rsidR="00E43429">
              <w:rPr>
                <w:rFonts w:ascii="Times New Roman" w:hAnsi="Times New Roman" w:cs="Times New Roman"/>
                <w:sz w:val="22"/>
                <w:szCs w:val="22"/>
              </w:rPr>
              <w:t xml:space="preserve"> </w:t>
            </w:r>
            <w:r w:rsidR="00820DF8">
              <w:rPr>
                <w:rFonts w:ascii="Times New Roman" w:hAnsi="Times New Roman" w:cs="Times New Roman"/>
                <w:sz w:val="22"/>
                <w:szCs w:val="22"/>
              </w:rPr>
              <w:t>11 996 379,84</w:t>
            </w:r>
            <w:r w:rsidR="00A64B7B">
              <w:rPr>
                <w:rFonts w:ascii="Times New Roman" w:hAnsi="Times New Roman" w:cs="Times New Roman"/>
                <w:sz w:val="22"/>
                <w:szCs w:val="22"/>
              </w:rPr>
              <w:t xml:space="preserve"> </w:t>
            </w:r>
            <w:r w:rsidRPr="008C747E">
              <w:rPr>
                <w:rFonts w:ascii="Times New Roman" w:hAnsi="Times New Roman" w:cs="Times New Roman"/>
                <w:sz w:val="22"/>
                <w:szCs w:val="22"/>
              </w:rPr>
              <w:t>рублей, в том числе:</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3A2E0D">
              <w:rPr>
                <w:rFonts w:ascii="Times New Roman" w:hAnsi="Times New Roman" w:cs="Times New Roman"/>
                <w:sz w:val="22"/>
                <w:szCs w:val="22"/>
              </w:rPr>
              <w:t>1</w:t>
            </w:r>
            <w:r w:rsidR="00BD5807">
              <w:rPr>
                <w:rFonts w:ascii="Times New Roman" w:hAnsi="Times New Roman" w:cs="Times New Roman"/>
                <w:sz w:val="22"/>
                <w:szCs w:val="22"/>
              </w:rPr>
              <w:t> </w:t>
            </w:r>
            <w:r w:rsidR="00350682">
              <w:rPr>
                <w:rFonts w:ascii="Times New Roman" w:hAnsi="Times New Roman" w:cs="Times New Roman"/>
                <w:sz w:val="22"/>
                <w:szCs w:val="22"/>
              </w:rPr>
              <w:t>5401</w:t>
            </w:r>
            <w:r w:rsidR="00B97CC0">
              <w:rPr>
                <w:rFonts w:ascii="Times New Roman" w:hAnsi="Times New Roman" w:cs="Times New Roman"/>
                <w:sz w:val="22"/>
                <w:szCs w:val="22"/>
              </w:rPr>
              <w:t>00</w:t>
            </w:r>
            <w:r w:rsidR="00A545C2" w:rsidRPr="008C747E">
              <w:rPr>
                <w:rFonts w:ascii="Times New Roman" w:hAnsi="Times New Roman" w:cs="Times New Roman"/>
                <w:sz w:val="22"/>
                <w:szCs w:val="22"/>
              </w:rPr>
              <w:t>,0</w:t>
            </w:r>
            <w:r w:rsidR="00834C97" w:rsidRPr="008C747E">
              <w:rPr>
                <w:rFonts w:ascii="Times New Roman" w:hAnsi="Times New Roman" w:cs="Times New Roman"/>
                <w:sz w:val="22"/>
                <w:szCs w:val="22"/>
              </w:rPr>
              <w:t>0</w:t>
            </w:r>
            <w:r w:rsidR="003B5B49" w:rsidRPr="008C747E">
              <w:rPr>
                <w:rFonts w:ascii="Times New Roman" w:hAnsi="Times New Roman" w:cs="Times New Roman"/>
                <w:sz w:val="22"/>
                <w:szCs w:val="22"/>
              </w:rPr>
              <w:t xml:space="preserve"> руб.</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542</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395</w:t>
            </w:r>
            <w:r w:rsidR="00B97CC0" w:rsidRPr="008C747E">
              <w:rPr>
                <w:rFonts w:ascii="Times New Roman" w:hAnsi="Times New Roman" w:cs="Times New Roman"/>
                <w:sz w:val="22"/>
                <w:szCs w:val="22"/>
              </w:rPr>
              <w:t>,</w:t>
            </w:r>
            <w:r w:rsidR="00D9556D">
              <w:rPr>
                <w:rFonts w:ascii="Times New Roman" w:hAnsi="Times New Roman" w:cs="Times New Roman"/>
                <w:sz w:val="22"/>
                <w:szCs w:val="22"/>
              </w:rPr>
              <w:t>6</w:t>
            </w:r>
            <w:r w:rsidR="00B97CC0" w:rsidRPr="008C747E">
              <w:rPr>
                <w:rFonts w:ascii="Times New Roman" w:hAnsi="Times New Roman" w:cs="Times New Roman"/>
                <w:sz w:val="22"/>
                <w:szCs w:val="22"/>
              </w:rPr>
              <w:t>0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E43429">
              <w:rPr>
                <w:rFonts w:ascii="Times New Roman" w:hAnsi="Times New Roman" w:cs="Times New Roman"/>
                <w:sz w:val="22"/>
                <w:szCs w:val="22"/>
              </w:rPr>
              <w:t xml:space="preserve">     </w:t>
            </w:r>
            <w:r w:rsidR="009F5E00">
              <w:rPr>
                <w:rFonts w:ascii="Times New Roman" w:hAnsi="Times New Roman" w:cs="Times New Roman"/>
                <w:sz w:val="22"/>
                <w:szCs w:val="22"/>
              </w:rPr>
              <w:t>23</w:t>
            </w:r>
            <w:r w:rsidR="00C40350">
              <w:rPr>
                <w:rFonts w:ascii="Times New Roman" w:hAnsi="Times New Roman" w:cs="Times New Roman"/>
                <w:sz w:val="22"/>
                <w:szCs w:val="22"/>
              </w:rPr>
              <w:t> 20</w:t>
            </w:r>
            <w:r w:rsidR="009F5E00">
              <w:rPr>
                <w:rFonts w:ascii="Times New Roman" w:hAnsi="Times New Roman" w:cs="Times New Roman"/>
                <w:sz w:val="22"/>
                <w:szCs w:val="22"/>
              </w:rPr>
              <w:t>0</w:t>
            </w:r>
            <w:r w:rsidR="00C40350">
              <w:rPr>
                <w:rFonts w:ascii="Times New Roman" w:hAnsi="Times New Roman" w:cs="Times New Roman"/>
                <w:sz w:val="22"/>
                <w:szCs w:val="22"/>
              </w:rPr>
              <w:t>,</w:t>
            </w:r>
            <w:r w:rsidR="009F5E00">
              <w:rPr>
                <w:rFonts w:ascii="Times New Roman" w:hAnsi="Times New Roman" w:cs="Times New Roman"/>
                <w:sz w:val="22"/>
                <w:szCs w:val="22"/>
              </w:rPr>
              <w:t>00</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81FDF">
              <w:rPr>
                <w:rFonts w:ascii="Times New Roman" w:hAnsi="Times New Roman" w:cs="Times New Roman"/>
                <w:sz w:val="22"/>
                <w:szCs w:val="22"/>
              </w:rPr>
              <w:t>7 829 358,79</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A545C2"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820DF8">
              <w:rPr>
                <w:rFonts w:ascii="Times New Roman" w:hAnsi="Times New Roman" w:cs="Times New Roman"/>
                <w:sz w:val="22"/>
                <w:szCs w:val="22"/>
              </w:rPr>
              <w:t>2 041 325,45</w:t>
            </w:r>
            <w:r w:rsidR="00A64B7B">
              <w:rPr>
                <w:rFonts w:ascii="Times New Roman" w:hAnsi="Times New Roman" w:cs="Times New Roman"/>
                <w:sz w:val="22"/>
                <w:szCs w:val="22"/>
              </w:rPr>
              <w:t xml:space="preserve"> </w:t>
            </w:r>
            <w:r w:rsidR="00B97CC0" w:rsidRPr="008C747E">
              <w:rPr>
                <w:rFonts w:ascii="Times New Roman" w:hAnsi="Times New Roman" w:cs="Times New Roman"/>
                <w:sz w:val="22"/>
                <w:szCs w:val="22"/>
              </w:rPr>
              <w:t>руб</w:t>
            </w:r>
            <w:r w:rsidR="003B5B49" w:rsidRPr="008C747E">
              <w:rPr>
                <w:rFonts w:ascii="Times New Roman" w:hAnsi="Times New Roman" w:cs="Times New Roman"/>
                <w:sz w:val="22"/>
                <w:szCs w:val="22"/>
              </w:rPr>
              <w:t>.</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w:t>
            </w:r>
            <w:r w:rsidR="006C5A85" w:rsidRPr="008C747E">
              <w:rPr>
                <w:rFonts w:ascii="Times New Roman" w:hAnsi="Times New Roman" w:cs="Times New Roman"/>
                <w:sz w:val="22"/>
                <w:szCs w:val="22"/>
              </w:rPr>
              <w:t>ч</w:t>
            </w:r>
            <w:r w:rsidR="00D82953" w:rsidRPr="008C747E">
              <w:rPr>
                <w:rFonts w:ascii="Times New Roman" w:hAnsi="Times New Roman" w:cs="Times New Roman"/>
                <w:sz w:val="22"/>
                <w:szCs w:val="22"/>
              </w:rPr>
              <w:t xml:space="preserve">исле из местного бюджета: </w:t>
            </w:r>
            <w:r w:rsidR="00A64B7B" w:rsidRPr="00A64B7B">
              <w:rPr>
                <w:rFonts w:ascii="Times New Roman" w:hAnsi="Times New Roman" w:cs="Times New Roman"/>
                <w:sz w:val="22"/>
                <w:szCs w:val="22"/>
              </w:rPr>
              <w:t>3</w:t>
            </w:r>
            <w:r w:rsidR="00A64B7B">
              <w:rPr>
                <w:rFonts w:ascii="Times New Roman" w:hAnsi="Times New Roman" w:cs="Times New Roman"/>
                <w:sz w:val="22"/>
                <w:szCs w:val="22"/>
              </w:rPr>
              <w:t xml:space="preserve"> </w:t>
            </w:r>
            <w:r w:rsidR="00A030E0">
              <w:rPr>
                <w:rFonts w:ascii="Times New Roman" w:hAnsi="Times New Roman" w:cs="Times New Roman"/>
                <w:sz w:val="22"/>
                <w:szCs w:val="22"/>
              </w:rPr>
              <w:t xml:space="preserve">543 962,86 </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40</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1</w:t>
            </w:r>
            <w:r>
              <w:rPr>
                <w:rFonts w:ascii="Times New Roman" w:hAnsi="Times New Roman" w:cs="Times New Roman"/>
                <w:sz w:val="22"/>
                <w:szCs w:val="22"/>
              </w:rPr>
              <w:t>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542</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395</w:t>
            </w:r>
            <w:r w:rsidRPr="008C747E">
              <w:rPr>
                <w:rFonts w:ascii="Times New Roman" w:hAnsi="Times New Roman" w:cs="Times New Roman"/>
                <w:sz w:val="22"/>
                <w:szCs w:val="22"/>
              </w:rPr>
              <w:t>,</w:t>
            </w:r>
            <w:r w:rsidR="00D9556D">
              <w:rPr>
                <w:rFonts w:ascii="Times New Roman" w:hAnsi="Times New Roman" w:cs="Times New Roman"/>
                <w:sz w:val="22"/>
                <w:szCs w:val="22"/>
              </w:rPr>
              <w:t>6</w:t>
            </w:r>
            <w:r w:rsidRPr="008C747E">
              <w:rPr>
                <w:rFonts w:ascii="Times New Roman" w:hAnsi="Times New Roman" w:cs="Times New Roman"/>
                <w:sz w:val="22"/>
                <w:szCs w:val="22"/>
              </w:rPr>
              <w:t>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D8358B">
              <w:rPr>
                <w:rFonts w:ascii="Times New Roman" w:hAnsi="Times New Roman" w:cs="Times New Roman"/>
                <w:sz w:val="22"/>
                <w:szCs w:val="22"/>
              </w:rPr>
              <w:t xml:space="preserve">     </w:t>
            </w:r>
            <w:r w:rsidR="009F5E00">
              <w:rPr>
                <w:rFonts w:ascii="Times New Roman" w:hAnsi="Times New Roman" w:cs="Times New Roman"/>
                <w:sz w:val="22"/>
                <w:szCs w:val="22"/>
              </w:rPr>
              <w:t>23 200,00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sidR="00481FDF">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A64B7B" w:rsidRPr="00A64B7B">
              <w:rPr>
                <w:rFonts w:ascii="Times New Roman" w:hAnsi="Times New Roman" w:cs="Times New Roman"/>
                <w:sz w:val="22"/>
                <w:szCs w:val="22"/>
              </w:rPr>
              <w:t>2</w:t>
            </w:r>
            <w:r w:rsidR="00A64B7B">
              <w:rPr>
                <w:rFonts w:ascii="Times New Roman" w:hAnsi="Times New Roman" w:cs="Times New Roman"/>
                <w:sz w:val="22"/>
                <w:szCs w:val="22"/>
              </w:rPr>
              <w:t xml:space="preserve"> </w:t>
            </w:r>
            <w:r w:rsidR="00A030E0">
              <w:rPr>
                <w:rFonts w:ascii="Times New Roman" w:hAnsi="Times New Roman" w:cs="Times New Roman"/>
                <w:sz w:val="22"/>
                <w:szCs w:val="22"/>
              </w:rPr>
              <w:t>041</w:t>
            </w:r>
            <w:r w:rsidR="00A64B7B">
              <w:rPr>
                <w:rFonts w:ascii="Times New Roman" w:hAnsi="Times New Roman" w:cs="Times New Roman"/>
                <w:sz w:val="22"/>
                <w:szCs w:val="22"/>
              </w:rPr>
              <w:t xml:space="preserve"> </w:t>
            </w:r>
            <w:r w:rsidR="00A030E0">
              <w:rPr>
                <w:rFonts w:ascii="Times New Roman" w:hAnsi="Times New Roman" w:cs="Times New Roman"/>
                <w:sz w:val="22"/>
                <w:szCs w:val="22"/>
              </w:rPr>
              <w:t>325</w:t>
            </w:r>
            <w:r w:rsidR="00A64B7B" w:rsidRPr="00A64B7B">
              <w:rPr>
                <w:rFonts w:ascii="Times New Roman" w:hAnsi="Times New Roman" w:cs="Times New Roman"/>
                <w:sz w:val="22"/>
                <w:szCs w:val="22"/>
              </w:rPr>
              <w:t>,</w:t>
            </w:r>
            <w:r w:rsidR="00A030E0">
              <w:rPr>
                <w:rFonts w:ascii="Times New Roman" w:hAnsi="Times New Roman" w:cs="Times New Roman"/>
                <w:sz w:val="22"/>
                <w:szCs w:val="22"/>
              </w:rPr>
              <w:t>45</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sidR="00921116">
              <w:rPr>
                <w:rFonts w:ascii="Times New Roman" w:hAnsi="Times New Roman" w:cs="Times New Roman"/>
                <w:sz w:val="22"/>
                <w:szCs w:val="22"/>
              </w:rPr>
              <w:t>8</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452</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416</w:t>
            </w:r>
            <w:r w:rsidR="005B7B51">
              <w:rPr>
                <w:rFonts w:ascii="Times New Roman" w:hAnsi="Times New Roman" w:cs="Times New Roman"/>
                <w:sz w:val="22"/>
                <w:szCs w:val="22"/>
              </w:rPr>
              <w:t>,</w:t>
            </w:r>
            <w:r w:rsidR="00921116">
              <w:rPr>
                <w:rFonts w:ascii="Times New Roman" w:hAnsi="Times New Roman" w:cs="Times New Roman"/>
                <w:sz w:val="22"/>
                <w:szCs w:val="22"/>
              </w:rPr>
              <w:t>98</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3A2E0D">
              <w:rPr>
                <w:rFonts w:ascii="Times New Roman" w:hAnsi="Times New Roman" w:cs="Times New Roman"/>
                <w:sz w:val="22"/>
                <w:szCs w:val="22"/>
              </w:rPr>
              <w:t>1 500 000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sidR="00D8358B">
              <w:rPr>
                <w:rFonts w:ascii="Times New Roman" w:hAnsi="Times New Roman" w:cs="Times New Roman"/>
                <w:sz w:val="22"/>
                <w:szCs w:val="22"/>
              </w:rPr>
              <w:t xml:space="preserve">              </w:t>
            </w:r>
            <w:r w:rsidR="005B7B51">
              <w:rPr>
                <w:rFonts w:ascii="Times New Roman" w:hAnsi="Times New Roman" w:cs="Times New Roman"/>
                <w:sz w:val="22"/>
                <w:szCs w:val="22"/>
              </w:rPr>
              <w:t>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00BD5A10">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BD5A10">
              <w:rPr>
                <w:rFonts w:ascii="Times New Roman" w:hAnsi="Times New Roman" w:cs="Times New Roman"/>
                <w:sz w:val="22"/>
                <w:szCs w:val="22"/>
              </w:rPr>
              <w:t>6 952 416,98</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D20636" w:rsidRPr="008C747E" w:rsidRDefault="00B97CC0" w:rsidP="00EC6697">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твердыми коммунальными отходами ООО «Магнит».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 xml:space="preserve">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w:t>
      </w:r>
      <w:r w:rsidRPr="005B76BC">
        <w:rPr>
          <w:bCs/>
          <w:sz w:val="22"/>
          <w:szCs w:val="22"/>
        </w:rPr>
        <w:lastRenderedPageBreak/>
        <w:t>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2026</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0266CB">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0266CB">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465CA8" w:rsidRPr="00781270">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465CA8" w:rsidRPr="00781270">
        <w:rPr>
          <w:rFonts w:ascii="Times New Roman" w:hAnsi="Times New Roman" w:cs="Times New Roman"/>
        </w:rPr>
        <w:t xml:space="preserve">» </w:t>
      </w:r>
      <w:r w:rsidR="00414D1C" w:rsidRPr="00781270">
        <w:rPr>
          <w:rFonts w:ascii="Times New Roman" w:hAnsi="Times New Roman" w:cs="Times New Roman"/>
        </w:rPr>
        <w:t>предусмотренопятнадцать</w:t>
      </w:r>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обустройству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содержанию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lastRenderedPageBreak/>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с. Бутаково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территории Знаменского муниципального района Омской области д. Пушкарево.</w:t>
      </w:r>
    </w:p>
    <w:p w:rsidR="008712CF"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086C40" w:rsidRPr="008B5153" w:rsidRDefault="00086C40" w:rsidP="00C65970">
      <w:pPr>
        <w:pStyle w:val="aff7"/>
        <w:ind w:firstLine="720"/>
        <w:rPr>
          <w:rFonts w:ascii="Times New Roman" w:hAnsi="Times New Roman" w:cs="Times New Roman"/>
        </w:rPr>
      </w:pPr>
      <w:r>
        <w:rPr>
          <w:rFonts w:ascii="Times New Roman" w:hAnsi="Times New Roman" w:cs="Times New Roman"/>
        </w:rPr>
        <w:t xml:space="preserve">- </w:t>
      </w:r>
      <w:r w:rsidRPr="00086C40">
        <w:rPr>
          <w:rFonts w:ascii="Times New Roman" w:hAnsi="Times New Roman" w:cs="Times New Roman"/>
        </w:rPr>
        <w:t>Оплата услуг по межеванию земельных участков, находящихся под несанкционированными свалками</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основного мероприятия:«Развитие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A61C6E" w:rsidRPr="008B5153">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A61C6E" w:rsidRPr="008B5153">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«Освоение денежных средств по содержанию полигона ТКО»,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При расчете значения целевого индикатора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Количество обустроенных объектов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8B5153" w:rsidRPr="008B5153">
        <w:rPr>
          <w:rFonts w:ascii="Times New Roman" w:hAnsi="Times New Roman" w:cs="Times New Roman"/>
          <w:sz w:val="24"/>
          <w:szCs w:val="24"/>
        </w:rPr>
        <w:t xml:space="preserve"> обьекта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При расчете значения целевого индикатора «</w:t>
      </w:r>
      <w:r w:rsidR="00DD17E5" w:rsidRPr="00F66072">
        <w:rPr>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области»определяется как общее количество заключенных договоровна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ликвидированных свалок»определяется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полученной проверенной сметной документации»определяется как общее количествополученной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ликвидированных несанкционированных свалок»определяется как общее количество ликвидированных </w:t>
      </w:r>
      <w:r w:rsidRPr="00347B60">
        <w:rPr>
          <w:rFonts w:ascii="Times New Roman" w:hAnsi="Times New Roman" w:cs="Times New Roman"/>
          <w:sz w:val="22"/>
          <w:szCs w:val="22"/>
        </w:rPr>
        <w:lastRenderedPageBreak/>
        <w:t>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t>При расчете значения целевого индикатора «Количество заключенных договоров»определяется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Завьялово»определяется как фактическаяплощадь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Бутаково,определяется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отходов)определяется как фактическ</w:t>
      </w:r>
      <w:r>
        <w:rPr>
          <w:rFonts w:ascii="Times New Roman" w:hAnsi="Times New Roman" w:cs="Times New Roman"/>
          <w:sz w:val="22"/>
          <w:szCs w:val="22"/>
        </w:rPr>
        <w:t>ое</w:t>
      </w:r>
      <w:r>
        <w:t>к</w:t>
      </w:r>
      <w:r w:rsidRPr="008712CF">
        <w:rPr>
          <w:rFonts w:ascii="Times New Roman" w:hAnsi="Times New Roman" w:cs="Times New Roman"/>
          <w:sz w:val="22"/>
          <w:szCs w:val="22"/>
        </w:rPr>
        <w:t>оличество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086C40" w:rsidRPr="00ED6ED6" w:rsidRDefault="00086C40" w:rsidP="00ED6ED6">
      <w:pPr>
        <w:rPr>
          <w:rFonts w:ascii="Times New Roman" w:hAnsi="Times New Roman" w:cs="Times New Roman"/>
          <w:sz w:val="22"/>
          <w:szCs w:val="22"/>
        </w:rPr>
      </w:pPr>
      <w:r>
        <w:rPr>
          <w:rFonts w:ascii="Times New Roman" w:hAnsi="Times New Roman" w:cs="Times New Roman"/>
          <w:sz w:val="22"/>
          <w:szCs w:val="22"/>
        </w:rPr>
        <w:t xml:space="preserve">17. </w:t>
      </w:r>
      <w:r w:rsidRPr="00086C40">
        <w:rPr>
          <w:rFonts w:ascii="Times New Roman" w:hAnsi="Times New Roman" w:cs="Times New Roman"/>
          <w:sz w:val="22"/>
          <w:szCs w:val="22"/>
        </w:rPr>
        <w:tab/>
        <w:t>При расчете значения целевого индикатора «Количество заключенных договоров»</w:t>
      </w:r>
      <w:r>
        <w:rPr>
          <w:rFonts w:ascii="Times New Roman" w:hAnsi="Times New Roman" w:cs="Times New Roman"/>
          <w:sz w:val="22"/>
          <w:szCs w:val="22"/>
        </w:rPr>
        <w:t xml:space="preserve"> </w:t>
      </w:r>
      <w:r w:rsidRPr="00086C40">
        <w:rPr>
          <w:rFonts w:ascii="Times New Roman" w:hAnsi="Times New Roman" w:cs="Times New Roman"/>
          <w:sz w:val="22"/>
          <w:szCs w:val="22"/>
        </w:rPr>
        <w:t>определяется как общее количество заключенных договоров.</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
    <w:p w:rsidR="0091327E" w:rsidRPr="00BD75F9" w:rsidRDefault="0091327E" w:rsidP="002F2D37">
      <w:pPr>
        <w:pStyle w:val="aff7"/>
        <w:rPr>
          <w:rFonts w:ascii="Times New Roman" w:hAnsi="Times New Roman" w:cs="Times New Roman"/>
        </w:rPr>
      </w:pPr>
    </w:p>
    <w:p w:rsidR="00A030E0" w:rsidRPr="008C747E" w:rsidRDefault="00820DF8" w:rsidP="00A030E0">
      <w:pPr>
        <w:ind w:firstLine="0"/>
        <w:rPr>
          <w:rFonts w:ascii="Times New Roman" w:hAnsi="Times New Roman" w:cs="Times New Roman"/>
          <w:sz w:val="22"/>
          <w:szCs w:val="22"/>
        </w:rPr>
      </w:pPr>
      <w:r w:rsidRPr="00820DF8">
        <w:rPr>
          <w:rFonts w:ascii="Times New Roman" w:hAnsi="Times New Roman" w:cs="Times New Roman"/>
          <w:sz w:val="22"/>
          <w:szCs w:val="22"/>
        </w:rPr>
        <w:t xml:space="preserve">Общие расходы подпрограммы </w:t>
      </w:r>
      <w:r w:rsidR="00A030E0">
        <w:rPr>
          <w:rFonts w:ascii="Times New Roman" w:hAnsi="Times New Roman" w:cs="Times New Roman"/>
          <w:sz w:val="22"/>
          <w:szCs w:val="22"/>
        </w:rPr>
        <w:t xml:space="preserve">11 996 379,84 </w:t>
      </w:r>
      <w:r w:rsidR="00A030E0" w:rsidRPr="008C747E">
        <w:rPr>
          <w:rFonts w:ascii="Times New Roman" w:hAnsi="Times New Roman" w:cs="Times New Roman"/>
          <w:sz w:val="22"/>
          <w:szCs w:val="22"/>
        </w:rPr>
        <w:t>рублей, в том числе:</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1 540100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542 395</w:t>
      </w:r>
      <w:r w:rsidRPr="008C747E">
        <w:rPr>
          <w:rFonts w:ascii="Times New Roman" w:hAnsi="Times New Roman" w:cs="Times New Roman"/>
          <w:sz w:val="22"/>
          <w:szCs w:val="22"/>
        </w:rPr>
        <w:t>,</w:t>
      </w:r>
      <w:r>
        <w:rPr>
          <w:rFonts w:ascii="Times New Roman" w:hAnsi="Times New Roman" w:cs="Times New Roman"/>
          <w:sz w:val="22"/>
          <w:szCs w:val="22"/>
        </w:rPr>
        <w:t>6</w:t>
      </w:r>
      <w:r w:rsidRPr="008C747E">
        <w:rPr>
          <w:rFonts w:ascii="Times New Roman" w:hAnsi="Times New Roman" w:cs="Times New Roman"/>
          <w:sz w:val="22"/>
          <w:szCs w:val="22"/>
        </w:rPr>
        <w:t>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00360F2F">
        <w:rPr>
          <w:rFonts w:ascii="Times New Roman" w:hAnsi="Times New Roman" w:cs="Times New Roman"/>
          <w:sz w:val="22"/>
          <w:szCs w:val="22"/>
        </w:rPr>
        <w:t xml:space="preserve"> </w:t>
      </w:r>
      <w:r w:rsidRPr="008C747E">
        <w:rPr>
          <w:rFonts w:ascii="Times New Roman" w:hAnsi="Times New Roman" w:cs="Times New Roman"/>
          <w:sz w:val="22"/>
          <w:szCs w:val="22"/>
        </w:rPr>
        <w:t xml:space="preserve">год – </w:t>
      </w:r>
      <w:r>
        <w:rPr>
          <w:rFonts w:ascii="Times New Roman" w:hAnsi="Times New Roman" w:cs="Times New Roman"/>
          <w:sz w:val="22"/>
          <w:szCs w:val="22"/>
        </w:rPr>
        <w:t xml:space="preserve">     23 200,00</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7 829 358,79</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2 041 325,45 </w:t>
      </w:r>
      <w:r w:rsidRPr="008C747E">
        <w:rPr>
          <w:rFonts w:ascii="Times New Roman" w:hAnsi="Times New Roman" w:cs="Times New Roman"/>
          <w:sz w:val="22"/>
          <w:szCs w:val="22"/>
        </w:rPr>
        <w:t>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числе из местного бюджета: </w:t>
      </w:r>
      <w:r w:rsidRPr="00A64B7B">
        <w:rPr>
          <w:rFonts w:ascii="Times New Roman" w:hAnsi="Times New Roman" w:cs="Times New Roman"/>
          <w:sz w:val="22"/>
          <w:szCs w:val="22"/>
        </w:rPr>
        <w:t>3</w:t>
      </w:r>
      <w:r>
        <w:rPr>
          <w:rFonts w:ascii="Times New Roman" w:hAnsi="Times New Roman" w:cs="Times New Roman"/>
          <w:sz w:val="22"/>
          <w:szCs w:val="22"/>
        </w:rPr>
        <w:t xml:space="preserve"> 543 962,86 </w:t>
      </w:r>
      <w:r w:rsidRPr="008C747E">
        <w:rPr>
          <w:rFonts w:ascii="Times New Roman" w:hAnsi="Times New Roman" w:cs="Times New Roman"/>
          <w:sz w:val="22"/>
          <w:szCs w:val="22"/>
        </w:rPr>
        <w:t>руб., в т.ч. по годам:</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40 100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542 395</w:t>
      </w:r>
      <w:r w:rsidRPr="008C747E">
        <w:rPr>
          <w:rFonts w:ascii="Times New Roman" w:hAnsi="Times New Roman" w:cs="Times New Roman"/>
          <w:sz w:val="22"/>
          <w:szCs w:val="22"/>
        </w:rPr>
        <w:t>,</w:t>
      </w:r>
      <w:r>
        <w:rPr>
          <w:rFonts w:ascii="Times New Roman" w:hAnsi="Times New Roman" w:cs="Times New Roman"/>
          <w:sz w:val="22"/>
          <w:szCs w:val="22"/>
        </w:rPr>
        <w:t>6</w:t>
      </w:r>
      <w:r w:rsidRPr="008C747E">
        <w:rPr>
          <w:rFonts w:ascii="Times New Roman" w:hAnsi="Times New Roman" w:cs="Times New Roman"/>
          <w:sz w:val="22"/>
          <w:szCs w:val="22"/>
        </w:rPr>
        <w:t>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00360F2F">
        <w:rPr>
          <w:rFonts w:ascii="Times New Roman" w:hAnsi="Times New Roman" w:cs="Times New Roman"/>
          <w:sz w:val="22"/>
          <w:szCs w:val="22"/>
        </w:rPr>
        <w:t xml:space="preserve"> </w:t>
      </w:r>
      <w:r w:rsidRPr="008C747E">
        <w:rPr>
          <w:rFonts w:ascii="Times New Roman" w:hAnsi="Times New Roman" w:cs="Times New Roman"/>
          <w:sz w:val="22"/>
          <w:szCs w:val="22"/>
        </w:rPr>
        <w:t xml:space="preserve">год – </w:t>
      </w:r>
      <w:r>
        <w:rPr>
          <w:rFonts w:ascii="Times New Roman" w:hAnsi="Times New Roman" w:cs="Times New Roman"/>
          <w:sz w:val="22"/>
          <w:szCs w:val="22"/>
        </w:rPr>
        <w:t xml:space="preserve">     23 200,00</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w:t>
      </w:r>
      <w:r w:rsidRPr="00A64B7B">
        <w:rPr>
          <w:rFonts w:ascii="Times New Roman" w:hAnsi="Times New Roman" w:cs="Times New Roman"/>
          <w:sz w:val="22"/>
          <w:szCs w:val="22"/>
        </w:rPr>
        <w:t>2</w:t>
      </w:r>
      <w:r>
        <w:rPr>
          <w:rFonts w:ascii="Times New Roman" w:hAnsi="Times New Roman" w:cs="Times New Roman"/>
          <w:sz w:val="22"/>
          <w:szCs w:val="22"/>
        </w:rPr>
        <w:t xml:space="preserve"> 041 325</w:t>
      </w:r>
      <w:r w:rsidRPr="00A64B7B">
        <w:rPr>
          <w:rFonts w:ascii="Times New Roman" w:hAnsi="Times New Roman" w:cs="Times New Roman"/>
          <w:sz w:val="22"/>
          <w:szCs w:val="22"/>
        </w:rPr>
        <w:t>,</w:t>
      </w:r>
      <w:r>
        <w:rPr>
          <w:rFonts w:ascii="Times New Roman" w:hAnsi="Times New Roman" w:cs="Times New Roman"/>
          <w:sz w:val="22"/>
          <w:szCs w:val="22"/>
        </w:rPr>
        <w:t>45</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Pr>
          <w:rFonts w:ascii="Times New Roman" w:hAnsi="Times New Roman" w:cs="Times New Roman"/>
          <w:sz w:val="22"/>
          <w:szCs w:val="22"/>
        </w:rPr>
        <w:t xml:space="preserve">8 452 416,98 </w:t>
      </w:r>
      <w:r w:rsidRPr="008C747E">
        <w:rPr>
          <w:rFonts w:ascii="Times New Roman" w:hAnsi="Times New Roman" w:cs="Times New Roman"/>
          <w:sz w:val="22"/>
          <w:szCs w:val="22"/>
        </w:rPr>
        <w:t>руб., в т.ч. по годам:</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Pr>
          <w:rFonts w:ascii="Times New Roman" w:hAnsi="Times New Roman" w:cs="Times New Roman"/>
          <w:sz w:val="22"/>
          <w:szCs w:val="22"/>
        </w:rPr>
        <w:t>1 500 000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00360F2F">
        <w:rPr>
          <w:rFonts w:ascii="Times New Roman" w:hAnsi="Times New Roman" w:cs="Times New Roman"/>
          <w:sz w:val="22"/>
          <w:szCs w:val="22"/>
        </w:rPr>
        <w:t xml:space="preserve"> </w:t>
      </w:r>
      <w:r w:rsidRPr="008C747E">
        <w:rPr>
          <w:rFonts w:ascii="Times New Roman" w:hAnsi="Times New Roman" w:cs="Times New Roman"/>
          <w:sz w:val="22"/>
          <w:szCs w:val="22"/>
        </w:rPr>
        <w:t>год –</w:t>
      </w:r>
      <w:r>
        <w:rPr>
          <w:rFonts w:ascii="Times New Roman" w:hAnsi="Times New Roman" w:cs="Times New Roman"/>
          <w:sz w:val="22"/>
          <w:szCs w:val="22"/>
        </w:rPr>
        <w:t xml:space="preserve">              0,00</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lastRenderedPageBreak/>
        <w:t>20</w:t>
      </w:r>
      <w:r>
        <w:rPr>
          <w:rFonts w:ascii="Times New Roman" w:hAnsi="Times New Roman" w:cs="Times New Roman"/>
          <w:sz w:val="22"/>
          <w:szCs w:val="22"/>
        </w:rPr>
        <w:t>23 год - 6 952 416,98</w:t>
      </w:r>
      <w:r w:rsidRPr="008C747E">
        <w:rPr>
          <w:rFonts w:ascii="Times New Roman" w:hAnsi="Times New Roman" w:cs="Times New Roman"/>
          <w:sz w:val="22"/>
          <w:szCs w:val="22"/>
        </w:rPr>
        <w:t xml:space="preserve"> руб.</w:t>
      </w:r>
    </w:p>
    <w:p w:rsidR="00A030E0" w:rsidRPr="008C747E"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A030E0"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A030E0" w:rsidRDefault="00A030E0" w:rsidP="00A030E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r>
        <w:rPr>
          <w:rFonts w:ascii="Times New Roman" w:hAnsi="Times New Roman" w:cs="Times New Roman"/>
          <w:sz w:val="22"/>
          <w:szCs w:val="22"/>
        </w:rPr>
        <w:t>.</w:t>
      </w:r>
      <w:r w:rsidRPr="00BD75F9">
        <w:rPr>
          <w:rFonts w:ascii="Times New Roman" w:hAnsi="Times New Roman" w:cs="Times New Roman"/>
          <w:sz w:val="22"/>
          <w:szCs w:val="22"/>
        </w:rPr>
        <w:t xml:space="preserve"> </w:t>
      </w:r>
    </w:p>
    <w:p w:rsidR="004F2930" w:rsidRPr="00814D6B" w:rsidRDefault="002F2D37" w:rsidP="00A030E0">
      <w:pPr>
        <w:rPr>
          <w:rFonts w:ascii="Times New Roman" w:hAnsi="Times New Roman" w:cs="Times New Roman"/>
          <w:sz w:val="22"/>
          <w:szCs w:val="22"/>
        </w:rPr>
      </w:pPr>
      <w:r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контроль за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контроль за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
    <w:sectPr w:rsidR="002063B8" w:rsidRPr="00541151" w:rsidSect="000427C4">
      <w:headerReference w:type="even" r:id="rId8"/>
      <w:headerReference w:type="default" r:id="rId9"/>
      <w:footerReference w:type="default" r:id="rId10"/>
      <w:pgSz w:w="11904" w:h="16834"/>
      <w:pgMar w:top="993"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B0E" w:rsidRDefault="00FE3B0E" w:rsidP="00500CB0">
      <w:r>
        <w:separator/>
      </w:r>
    </w:p>
  </w:endnote>
  <w:endnote w:type="continuationSeparator" w:id="1">
    <w:p w:rsidR="00FE3B0E" w:rsidRDefault="00FE3B0E"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3A6384">
    <w:pPr>
      <w:pStyle w:val="afff2"/>
      <w:jc w:val="right"/>
    </w:pPr>
    <w:r>
      <w:fldChar w:fldCharType="begin"/>
    </w:r>
    <w:r w:rsidR="00AD635F">
      <w:instrText xml:space="preserve"> PAGE   \* MERGEFORMAT </w:instrText>
    </w:r>
    <w:r>
      <w:fldChar w:fldCharType="separate"/>
    </w:r>
    <w:r w:rsidR="00360F2F">
      <w:rPr>
        <w:noProof/>
      </w:rPr>
      <w:t>6</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B0E" w:rsidRDefault="00FE3B0E" w:rsidP="00500CB0">
      <w:r>
        <w:separator/>
      </w:r>
    </w:p>
  </w:footnote>
  <w:footnote w:type="continuationSeparator" w:id="1">
    <w:p w:rsidR="00FE3B0E" w:rsidRDefault="00FE3B0E"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3A6384"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77551"/>
    <w:rsid w:val="00080349"/>
    <w:rsid w:val="000805CF"/>
    <w:rsid w:val="00080B7D"/>
    <w:rsid w:val="0008114F"/>
    <w:rsid w:val="00081675"/>
    <w:rsid w:val="000821DB"/>
    <w:rsid w:val="00082C4B"/>
    <w:rsid w:val="00082F36"/>
    <w:rsid w:val="00083089"/>
    <w:rsid w:val="000834EB"/>
    <w:rsid w:val="0008488E"/>
    <w:rsid w:val="000848A8"/>
    <w:rsid w:val="00086C40"/>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678C1"/>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AA3"/>
    <w:rsid w:val="00347B60"/>
    <w:rsid w:val="00350682"/>
    <w:rsid w:val="00350D59"/>
    <w:rsid w:val="00353AF6"/>
    <w:rsid w:val="003549A1"/>
    <w:rsid w:val="003566AD"/>
    <w:rsid w:val="00356D52"/>
    <w:rsid w:val="0035725F"/>
    <w:rsid w:val="00360595"/>
    <w:rsid w:val="00360BF3"/>
    <w:rsid w:val="00360F2F"/>
    <w:rsid w:val="00362A45"/>
    <w:rsid w:val="00363625"/>
    <w:rsid w:val="0036462B"/>
    <w:rsid w:val="00364A08"/>
    <w:rsid w:val="0037076C"/>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A6384"/>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46FB"/>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8B6"/>
    <w:rsid w:val="00726AF5"/>
    <w:rsid w:val="007270E3"/>
    <w:rsid w:val="0072749B"/>
    <w:rsid w:val="0073013D"/>
    <w:rsid w:val="007303E7"/>
    <w:rsid w:val="007311F5"/>
    <w:rsid w:val="00731461"/>
    <w:rsid w:val="0073188F"/>
    <w:rsid w:val="00733C14"/>
    <w:rsid w:val="0073536E"/>
    <w:rsid w:val="00735DC3"/>
    <w:rsid w:val="00744763"/>
    <w:rsid w:val="00745387"/>
    <w:rsid w:val="00745FC7"/>
    <w:rsid w:val="00746198"/>
    <w:rsid w:val="007467A6"/>
    <w:rsid w:val="007478DB"/>
    <w:rsid w:val="0075011B"/>
    <w:rsid w:val="00751E10"/>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2059F"/>
    <w:rsid w:val="008206D1"/>
    <w:rsid w:val="00820DF8"/>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0FFB"/>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299"/>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A38"/>
    <w:rsid w:val="00944D36"/>
    <w:rsid w:val="00944DD3"/>
    <w:rsid w:val="00945190"/>
    <w:rsid w:val="00946FD6"/>
    <w:rsid w:val="00950BCB"/>
    <w:rsid w:val="00950D4A"/>
    <w:rsid w:val="00951A63"/>
    <w:rsid w:val="00952534"/>
    <w:rsid w:val="00954327"/>
    <w:rsid w:val="00954E5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1EF"/>
    <w:rsid w:val="00A022D1"/>
    <w:rsid w:val="00A02495"/>
    <w:rsid w:val="00A02CE7"/>
    <w:rsid w:val="00A030E0"/>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4B7B"/>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1467"/>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33B7"/>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86B"/>
    <w:rsid w:val="00EC6697"/>
    <w:rsid w:val="00ED0D78"/>
    <w:rsid w:val="00ED0FB4"/>
    <w:rsid w:val="00ED160E"/>
    <w:rsid w:val="00ED2121"/>
    <w:rsid w:val="00ED232E"/>
    <w:rsid w:val="00ED2B61"/>
    <w:rsid w:val="00ED4256"/>
    <w:rsid w:val="00ED4D6A"/>
    <w:rsid w:val="00ED505C"/>
    <w:rsid w:val="00ED50E5"/>
    <w:rsid w:val="00ED6ED6"/>
    <w:rsid w:val="00ED7B32"/>
    <w:rsid w:val="00ED7E56"/>
    <w:rsid w:val="00EE05E2"/>
    <w:rsid w:val="00EE1D8A"/>
    <w:rsid w:val="00EE222A"/>
    <w:rsid w:val="00EE2F2B"/>
    <w:rsid w:val="00EE3ED6"/>
    <w:rsid w:val="00EE4369"/>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0E"/>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B09637-8CA3-408C-A27F-174D7D14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2754</Words>
  <Characters>15704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cp:revision>
  <cp:lastPrinted>2023-05-24T04:50:00Z</cp:lastPrinted>
  <dcterms:created xsi:type="dcterms:W3CDTF">2024-11-18T02:47:00Z</dcterms:created>
  <dcterms:modified xsi:type="dcterms:W3CDTF">2024-11-19T05:27:00Z</dcterms:modified>
</cp:coreProperties>
</file>