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 xml:space="preserve">ями муниципальной подпрограммы </w:t>
            </w:r>
            <w:r w:rsidR="001A7233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  <w:r w:rsidR="001A723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ЗРИКМ»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ЦРБ»</w:t>
            </w:r>
          </w:p>
          <w:p w:rsidR="000D499E" w:rsidRPr="00932154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8B0818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33BB" w:rsidRPr="00932154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Знаменская ДШИ»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  <w:r w:rsidR="00D85453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«ИСТОКИ»</w:t>
            </w:r>
          </w:p>
          <w:p w:rsidR="000D499E" w:rsidRPr="0067069C" w:rsidRDefault="000D499E" w:rsidP="001F3EB6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МБУК </w:t>
            </w:r>
            <w:r w:rsidR="001F3EB6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РДК</w:t>
            </w:r>
            <w:r w:rsidR="001F3EB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584F8A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</w:t>
            </w:r>
            <w:r w:rsidR="00584F8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Развитие библиотечно-информацион</w:t>
            </w:r>
            <w:r w:rsidR="0070213E">
              <w:rPr>
                <w:rFonts w:ascii="Times New Roman" w:hAnsi="Times New Roman" w:cs="Times New Roman"/>
                <w:sz w:val="22"/>
                <w:szCs w:val="22"/>
              </w:rPr>
              <w:t>ных услуг  на территории района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выявления и поддержки одаренных детей и молодежи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национальной и традиционной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организации досуга населения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Развитие системы управления в сфере культуры и туризма, библиотечного и музейного дела, художествен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и музыкального образования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70213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0D499E" w:rsidRPr="001156B3">
              <w:rPr>
                <w:rFonts w:ascii="Times New Roman" w:hAnsi="Times New Roman" w:cs="Times New Roman"/>
                <w:sz w:val="22"/>
                <w:szCs w:val="22"/>
              </w:rPr>
              <w:t>Ремонт и материально - техническое оснащение учреждений культуры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0D499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70213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="0070213E" w:rsidRPr="0093215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  <w:r w:rsidR="008B08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</w:t>
            </w:r>
            <w:r w:rsidR="00597746">
              <w:rPr>
                <w:rFonts w:ascii="Times New Roman" w:hAnsi="Times New Roman" w:cs="Times New Roman"/>
                <w:sz w:val="22"/>
                <w:szCs w:val="22"/>
              </w:rPr>
              <w:t>572 575 920,30</w:t>
            </w:r>
            <w:r w:rsidR="00863B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руб. в т.ч. по годам: 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руб.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руб. </w:t>
            </w:r>
          </w:p>
          <w:p w:rsidR="000D499E" w:rsidRPr="00FF3F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2023 –  96 553 844,60 руб.</w:t>
            </w:r>
          </w:p>
          <w:p w:rsidR="000D499E" w:rsidRPr="00FF3F19" w:rsidRDefault="006E1969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</w:t>
            </w:r>
            <w:r w:rsidR="005226FC" w:rsidRPr="00FF3F19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 169</w:t>
            </w:r>
            <w:r w:rsidR="00831E7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397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0432" w:rsidRPr="00FF3F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F3F19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499E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FF3F19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</w:t>
            </w:r>
            <w:r w:rsidR="00597746">
              <w:rPr>
                <w:rFonts w:ascii="Times New Roman" w:hAnsi="Times New Roman" w:cs="Times New Roman"/>
                <w:sz w:val="22"/>
                <w:szCs w:val="22"/>
              </w:rPr>
              <w:t>90 026 825,79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584F8A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2026 -   5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697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882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0 руб.   </w:t>
            </w:r>
          </w:p>
          <w:p w:rsidR="000D499E" w:rsidRPr="00FF3F19" w:rsidRDefault="000D499E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584F8A"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2027 -   56 769 657,50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2028 -                  0,00 руб.</w:t>
            </w:r>
          </w:p>
          <w:p w:rsidR="00584F8A" w:rsidRPr="00FF3F19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2029 -                  0,00 руб.</w:t>
            </w:r>
          </w:p>
          <w:p w:rsidR="00584F8A" w:rsidRPr="001156B3" w:rsidRDefault="00584F8A" w:rsidP="00584F8A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FF3F1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2030 -                  0,00 руб.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Достижение определенных Подпрограммой результатов повлияет на эффективность реализации в  Знаменском 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муниципальном районе единой государственной культу</w:t>
            </w:r>
            <w:r w:rsidR="00A85E58" w:rsidRPr="00932154">
              <w:rPr>
                <w:rFonts w:ascii="Times New Roman" w:hAnsi="Times New Roman" w:cs="Times New Roman"/>
                <w:sz w:val="22"/>
                <w:szCs w:val="22"/>
              </w:rPr>
              <w:t>рной политики и обеспечит к 2027</w:t>
            </w: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      </w:r>
          </w:p>
          <w:p w:rsidR="000D499E" w:rsidRPr="00932154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сохранения культурного наследия Знаменского муниципального района, его исторической самобытности;</w:t>
            </w:r>
          </w:p>
          <w:p w:rsidR="000D499E" w:rsidRPr="00932154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2154">
              <w:rPr>
                <w:rFonts w:ascii="Times New Roman" w:hAnsi="Times New Roman" w:cs="Times New Roman"/>
                <w:sz w:val="22"/>
                <w:szCs w:val="22"/>
              </w:rPr>
              <w:t>- развития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>соответствии с ФЗ  от 09.10.1992</w:t>
      </w:r>
      <w:r w:rsidR="00426F07">
        <w:rPr>
          <w:rFonts w:ascii="Times New Roman" w:hAnsi="Times New Roman" w:cs="Times New Roman"/>
          <w:sz w:val="22"/>
          <w:szCs w:val="22"/>
        </w:rPr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 xml:space="preserve">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</w:t>
      </w:r>
      <w:r w:rsidR="004A622B">
        <w:rPr>
          <w:rFonts w:ascii="Times New Roman" w:hAnsi="Times New Roman" w:cs="Times New Roman"/>
          <w:bCs/>
          <w:sz w:val="22"/>
          <w:szCs w:val="22"/>
        </w:rPr>
        <w:t>30</w:t>
      </w:r>
      <w:r w:rsidRPr="007B1B48">
        <w:rPr>
          <w:rFonts w:ascii="Times New Roman" w:hAnsi="Times New Roman" w:cs="Times New Roman"/>
          <w:bCs/>
          <w:sz w:val="22"/>
          <w:szCs w:val="22"/>
        </w:rPr>
        <w:t xml:space="preserve">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</w:t>
      </w: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Для проведения оценки эффективности муниципальной подпрограммы для каждого </w:t>
      </w: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>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</w:t>
      </w:r>
      <w:r w:rsidR="00593F10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>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lastRenderedPageBreak/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Pr="00265B50">
        <w:rPr>
          <w:rFonts w:ascii="Times New Roman" w:hAnsi="Times New Roman" w:cs="Times New Roman"/>
          <w:sz w:val="22"/>
          <w:szCs w:val="22"/>
        </w:rPr>
        <w:lastRenderedPageBreak/>
        <w:t>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</w:t>
      </w:r>
      <w:r w:rsidR="004A622B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FF3F19" w:rsidRPr="00FF3F19" w:rsidRDefault="000D499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CB79E6">
        <w:rPr>
          <w:rFonts w:ascii="Times New Roman" w:hAnsi="Times New Roman" w:cs="Times New Roman"/>
          <w:sz w:val="22"/>
          <w:szCs w:val="22"/>
        </w:rPr>
        <w:t>572 575 920,30</w:t>
      </w:r>
      <w:r w:rsidR="00FF3F19" w:rsidRPr="00FF3F19">
        <w:rPr>
          <w:rFonts w:ascii="Times New Roman" w:hAnsi="Times New Roman" w:cs="Times New Roman"/>
          <w:sz w:val="22"/>
          <w:szCs w:val="22"/>
        </w:rPr>
        <w:t xml:space="preserve"> руб. в т.ч. по годам: 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2020 –  58 385 386,20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2021 –  56 978 414,74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2022 –  66 994 511,02 руб. 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2023 –  96 553 844,60 руб.</w:t>
      </w:r>
    </w:p>
    <w:p w:rsidR="00FF3F19" w:rsidRP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2024 – </w:t>
      </w:r>
      <w:r w:rsidR="00247B5B">
        <w:rPr>
          <w:rFonts w:ascii="Times New Roman" w:hAnsi="Times New Roman" w:cs="Times New Roman"/>
          <w:sz w:val="22"/>
          <w:szCs w:val="22"/>
        </w:rPr>
        <w:t xml:space="preserve"> </w:t>
      </w:r>
      <w:r w:rsidR="00CB79E6" w:rsidRPr="00FF3F19">
        <w:rPr>
          <w:rFonts w:ascii="Times New Roman" w:hAnsi="Times New Roman" w:cs="Times New Roman"/>
          <w:sz w:val="22"/>
          <w:szCs w:val="22"/>
        </w:rPr>
        <w:t xml:space="preserve">90 169 397,95 </w:t>
      </w:r>
      <w:r w:rsidRPr="00FF3F19">
        <w:rPr>
          <w:rFonts w:ascii="Times New Roman" w:hAnsi="Times New Roman" w:cs="Times New Roman"/>
          <w:sz w:val="22"/>
          <w:szCs w:val="22"/>
        </w:rPr>
        <w:t>руб.</w:t>
      </w:r>
      <w:bookmarkStart w:id="0" w:name="_GoBack"/>
      <w:bookmarkEnd w:id="0"/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</w:t>
      </w:r>
      <w:r w:rsidR="00CB79E6">
        <w:rPr>
          <w:rFonts w:ascii="Times New Roman" w:hAnsi="Times New Roman" w:cs="Times New Roman"/>
          <w:sz w:val="22"/>
          <w:szCs w:val="22"/>
        </w:rPr>
        <w:t xml:space="preserve">           2025 –  90 026 825,79</w:t>
      </w:r>
      <w:r w:rsidRPr="00FF3F19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2026 -   56 697 882,50 руб.   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2027 -   56 769 657,50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2028 -                  0,00 руб.</w:t>
      </w:r>
    </w:p>
    <w:p w:rsidR="00FF3F19" w:rsidRPr="00FF3F19" w:rsidRDefault="00FF3F19" w:rsidP="00FF3F19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2029 -                  0,00 руб.</w:t>
      </w:r>
    </w:p>
    <w:p w:rsidR="00FF3F19" w:rsidRDefault="00FF3F19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F3F19">
        <w:rPr>
          <w:rFonts w:ascii="Times New Roman" w:hAnsi="Times New Roman" w:cs="Times New Roman"/>
          <w:sz w:val="22"/>
          <w:szCs w:val="22"/>
        </w:rPr>
        <w:t xml:space="preserve">                   2030 -                  0,00 руб.</w:t>
      </w:r>
    </w:p>
    <w:p w:rsidR="000D499E" w:rsidRPr="001156B3" w:rsidRDefault="00D236AE" w:rsidP="00FF3F19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499E"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 w:rsidR="000D499E"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</w:t>
      </w:r>
      <w:r w:rsidR="00A85E58" w:rsidRPr="00932154">
        <w:rPr>
          <w:rFonts w:ascii="Times New Roman" w:hAnsi="Times New Roman" w:cs="Times New Roman"/>
          <w:sz w:val="22"/>
          <w:szCs w:val="22"/>
        </w:rPr>
        <w:t>рной политики и обеспечит к 2027</w:t>
      </w:r>
      <w:r w:rsidRPr="00932154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932154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lastRenderedPageBreak/>
        <w:t>- повышения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932154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 xml:space="preserve"> </w:t>
      </w:r>
      <w:r w:rsidRPr="00932154">
        <w:rPr>
          <w:rFonts w:ascii="Times New Roman" w:hAnsi="Times New Roman" w:cs="Times New Roman"/>
          <w:sz w:val="22"/>
          <w:szCs w:val="22"/>
        </w:rPr>
        <w:tab/>
        <w:t>- сохранения культурного наследия Знаменского муниципального района, его исторической самобытности;</w:t>
      </w:r>
    </w:p>
    <w:p w:rsidR="000D499E" w:rsidRPr="00932154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развития творческой  активности населения.</w:t>
      </w:r>
    </w:p>
    <w:p w:rsidR="000D499E" w:rsidRPr="00932154" w:rsidRDefault="000D499E" w:rsidP="005B2526">
      <w:pPr>
        <w:pStyle w:val="aff4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932154">
        <w:rPr>
          <w:rFonts w:ascii="Times New Roman" w:hAnsi="Times New Roman" w:cs="Times New Roman"/>
          <w:sz w:val="22"/>
          <w:szCs w:val="22"/>
        </w:rPr>
        <w:t>-  Козлова С.Л. – директор Муниципального  бюджетного учреждения культуры Знаменского</w:t>
      </w:r>
      <w:r w:rsidRPr="006102C9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EC9" w:rsidRDefault="00D23EC9" w:rsidP="00826008">
      <w:r>
        <w:separator/>
      </w:r>
    </w:p>
  </w:endnote>
  <w:endnote w:type="continuationSeparator" w:id="1">
    <w:p w:rsidR="00D23EC9" w:rsidRDefault="00D23EC9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C9290A">
    <w:pPr>
      <w:pStyle w:val="affe"/>
      <w:jc w:val="right"/>
    </w:pPr>
    <w:r>
      <w:fldChar w:fldCharType="begin"/>
    </w:r>
    <w:r w:rsidR="009F1721">
      <w:instrText xml:space="preserve"> PAGE   \* MERGEFORMAT </w:instrText>
    </w:r>
    <w:r>
      <w:fldChar w:fldCharType="separate"/>
    </w:r>
    <w:r w:rsidR="00863B58">
      <w:rPr>
        <w:noProof/>
      </w:rPr>
      <w:t>10</w:t>
    </w:r>
    <w:r>
      <w:rPr>
        <w:noProof/>
      </w:rPr>
      <w:fldChar w:fldCharType="end"/>
    </w:r>
  </w:p>
  <w:p w:rsidR="000D499E" w:rsidRDefault="000D499E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EC9" w:rsidRDefault="00D23EC9" w:rsidP="00826008">
      <w:r>
        <w:separator/>
      </w:r>
    </w:p>
  </w:footnote>
  <w:footnote w:type="continuationSeparator" w:id="1">
    <w:p w:rsidR="00D23EC9" w:rsidRDefault="00D23EC9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544A"/>
    <w:rsid w:val="00036078"/>
    <w:rsid w:val="000366AC"/>
    <w:rsid w:val="00036704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74E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4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233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C7483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3EB6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47B5B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6090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4D9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6F0C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1EC"/>
    <w:rsid w:val="003F2364"/>
    <w:rsid w:val="003F613B"/>
    <w:rsid w:val="003F6D97"/>
    <w:rsid w:val="003F7B7F"/>
    <w:rsid w:val="0040007C"/>
    <w:rsid w:val="0040288E"/>
    <w:rsid w:val="0040329F"/>
    <w:rsid w:val="00403508"/>
    <w:rsid w:val="00403CBF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6F07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5F6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22B"/>
    <w:rsid w:val="004A6686"/>
    <w:rsid w:val="004A710A"/>
    <w:rsid w:val="004B13F7"/>
    <w:rsid w:val="004B391E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33EE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45E1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26FC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858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4F8A"/>
    <w:rsid w:val="00586CAD"/>
    <w:rsid w:val="00591FAE"/>
    <w:rsid w:val="00592B86"/>
    <w:rsid w:val="00593031"/>
    <w:rsid w:val="00593F10"/>
    <w:rsid w:val="005962B9"/>
    <w:rsid w:val="00597746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0998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45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B76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969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213E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34B7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1E7E"/>
    <w:rsid w:val="00833459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3B58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818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4FAA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154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42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721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5E58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0432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07D61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08B4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4859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095"/>
    <w:rsid w:val="00BD6A2C"/>
    <w:rsid w:val="00BE0D9E"/>
    <w:rsid w:val="00BE4667"/>
    <w:rsid w:val="00BE493A"/>
    <w:rsid w:val="00BE4A4A"/>
    <w:rsid w:val="00BE5C86"/>
    <w:rsid w:val="00BE5FCF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290A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915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B79E6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B03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36AE"/>
    <w:rsid w:val="00D23EC9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5453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16360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3575"/>
    <w:rsid w:val="00E54F20"/>
    <w:rsid w:val="00E55414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E7B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3A6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33BB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263D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269B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260D"/>
    <w:rsid w:val="00FF3F19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8">
    <w:name w:val="Strong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</cp:revision>
  <cp:lastPrinted>2023-05-31T08:40:00Z</cp:lastPrinted>
  <dcterms:created xsi:type="dcterms:W3CDTF">2025-04-24T05:55:00Z</dcterms:created>
  <dcterms:modified xsi:type="dcterms:W3CDTF">2025-04-24T09:52:00Z</dcterms:modified>
</cp:coreProperties>
</file>